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Times New Roman" w:hAnsi="Times New Roman"/>
          <w:b/>
          <w:i w:val="0"/>
          <w:color w:val="1F3864"/>
          <w:sz w:val="40"/>
        </w:rPr>
        <w:t>INDIVIDUAL FINANCIAL AND COST ACCOUNTING PORTFOLIO</w:t>
      </w:r>
    </w:p>
    <w:p>
      <w:pPr>
        <w:jc w:val="center"/>
      </w:pPr>
      <w:r>
        <w:rPr>
          <w:rFonts w:ascii="Times New Roman" w:hAnsi="Times New Roman"/>
          <w:b w:val="0"/>
          <w:i/>
          <w:color w:val="555555"/>
          <w:sz w:val="26"/>
        </w:rPr>
        <w:t>Profitability Analysis of a Sample Retail Business Using Accounting Formulas, Excel Reconciliation and Google Looker Studio</w:t>
      </w:r>
    </w:p>
    <w:p/>
    <w:p>
      <w:pPr>
        <w:jc w:val="center"/>
      </w:pPr>
      <w:r>
        <w:rPr>
          <w:rFonts w:ascii="Times New Roman" w:hAnsi="Times New Roman"/>
          <w:b w:val="0"/>
          <w:i w:val="0"/>
          <w:color w:val="555555"/>
          <w:sz w:val="24"/>
        </w:rPr>
        <w:t>Dataset: Tableau Sample Superstore  |  9,994 order lines  |  2014-01-03 to 2017-12-30  |  Currency: USD</w:t>
      </w:r>
    </w:p>
    <w:p>
      <w:pPr>
        <w:jc w:val="center"/>
      </w:pPr>
      <w:r>
        <w:rPr>
          <w:rFonts w:ascii="Times New Roman" w:hAnsi="Times New Roman"/>
          <w:b/>
          <w:i w:val="0"/>
          <w:color w:val="1F3864"/>
          <w:sz w:val="24"/>
        </w:rPr>
        <w:t>Total Revenue $2,297,200.86   •   Total Cost $2,010,803.84   •   Total Profit $286,397.02   •   Margin 12.47%</w:t>
      </w:r>
    </w:p>
    <w:p/>
    <w:p>
      <w:pPr>
        <w:jc w:val="center"/>
      </w:pPr>
      <w:r>
        <w:rPr>
          <w:rFonts w:ascii="Times New Roman" w:hAnsi="Times New Roman"/>
          <w:b w:val="0"/>
          <w:i/>
          <w:color w:val="555555"/>
          <w:sz w:val="22"/>
        </w:rPr>
        <w:t>Submitted as complete journal: calculations in Excel, dashboard in Looker Studio, evidence screenshots attached.</w:t>
      </w:r>
    </w:p>
    <w:p>
      <w:r>
        <w:br w:type="page"/>
      </w:r>
    </w:p>
    <w:p>
      <w:pPr>
        <w:pStyle w:val="Heading1"/>
      </w:pPr>
      <w:r>
        <w:t>1. Title</w:t>
      </w:r>
    </w:p>
    <w:p>
      <w:r>
        <w:rPr>
          <w:rFonts w:ascii="Times New Roman" w:hAnsi="Times New Roman"/>
          <w:b w:val="0"/>
          <w:i w:val="0"/>
          <w:sz w:val="24"/>
        </w:rPr>
        <w:t>Profitability Analysis of the Tableau Sample Superstore Business (2014–2017): Revenue, Cost, Profit and Margin by Category and Month, with an Interactive Looker Studio Dashboard.</w:t>
      </w:r>
    </w:p>
    <w:p>
      <w:pPr>
        <w:pStyle w:val="Heading1"/>
      </w:pPr>
      <w:r>
        <w:t>2. Problem Statement</w:t>
      </w:r>
    </w:p>
    <w:p>
      <w:r>
        <w:rPr>
          <w:rFonts w:ascii="Times New Roman" w:hAnsi="Times New Roman"/>
          <w:b w:val="0"/>
          <w:i w:val="0"/>
          <w:sz w:val="24"/>
        </w:rPr>
        <w:t>Small retail businesses record thousands of sales lines but often cannot answer four simple questions: how much did we sell, what did it cost, what did we keep, and which products and months drive or drain profit? Discounts and weak product mix quietly erase margins. This portfolio answers those questions on genuine transaction data — every figure reconciled in Excel and visualised in Looker Studio — so decisions rest on evidence, not guesswork.</w:t>
      </w:r>
    </w:p>
    <w:p>
      <w:pPr>
        <w:pStyle w:val="Heading1"/>
      </w:pPr>
      <w:r>
        <w:t>3. Objectives</w:t>
      </w:r>
    </w:p>
    <w:p>
      <w:pPr>
        <w:pStyle w:val="ListBullet"/>
      </w:pPr>
      <w:r>
        <w:rPr>
          <w:rFonts w:ascii="Times New Roman" w:hAnsi="Times New Roman"/>
          <w:sz w:val="24"/>
        </w:rPr>
        <w:t>Compute Revenue, Total Cost, Profit and Profit Margin from genuine sales records using documented accounting formulas.</w:t>
      </w:r>
    </w:p>
    <w:p>
      <w:pPr>
        <w:pStyle w:val="ListBullet"/>
      </w:pPr>
      <w:r>
        <w:rPr>
          <w:rFonts w:ascii="Times New Roman" w:hAnsi="Times New Roman"/>
          <w:sz w:val="24"/>
        </w:rPr>
        <w:t>Break profitability down by Category, Sub-Category and Month to find winners, loss-makers and seasonal patterns.</w:t>
      </w:r>
    </w:p>
    <w:p>
      <w:pPr>
        <w:pStyle w:val="ListBullet"/>
      </w:pPr>
      <w:r>
        <w:rPr>
          <w:rFonts w:ascii="Times New Roman" w:hAnsi="Times New Roman"/>
          <w:sz w:val="24"/>
        </w:rPr>
        <w:t>Build a clean, formula-auditable Excel workbook where every total is a live Excel formula reconciled against Python.</w:t>
      </w:r>
    </w:p>
    <w:p>
      <w:pPr>
        <w:pStyle w:val="ListBullet"/>
      </w:pPr>
      <w:r>
        <w:rPr>
          <w:rFonts w:ascii="Times New Roman" w:hAnsi="Times New Roman"/>
          <w:sz w:val="24"/>
        </w:rPr>
        <w:t>Build a real, shared Looker Studio dashboard on the same data with four live KPI scorecards, existing charts, and Date, Category and Region controls.</w:t>
      </w:r>
    </w:p>
    <w:p>
      <w:pPr>
        <w:pStyle w:val="ListBullet"/>
      </w:pPr>
      <w:r>
        <w:rPr>
          <w:rFonts w:ascii="Times New Roman" w:hAnsi="Times New Roman"/>
          <w:sz w:val="24"/>
        </w:rPr>
        <w:t>Give 3–5 numerical, data-supported financial recommendations a student owner could act on.</w:t>
      </w:r>
    </w:p>
    <w:p>
      <w:pPr>
        <w:pStyle w:val="Heading1"/>
      </w:pPr>
      <w:r>
        <w:t>4. Dataset Details</w:t>
      </w:r>
    </w:p>
    <w:p>
      <w:r>
        <w:rPr>
          <w:rFonts w:ascii="Times New Roman" w:hAnsi="Times New Roman"/>
          <w:b w:val="0"/>
          <w:i w:val="0"/>
          <w:sz w:val="24"/>
        </w:rPr>
        <w:t>Original publisher: Tableau Software — Sample Superstore (Orders), provided for business-intelligence education via Tableau Public Sample Data (public.tableau.com/app/learn/sample-data). File used: Sample – Superstore.csv (9,994 order lines, 21 columns), downloaded via the public GitHub mirror praveen-kumar-maurya/Superstore-Sales-Dashboard-Power-BI (2,298,597 bytes; identical row count and published totals). A second mirror (ThigasSantos/BaseSuperStore sales.csv) was cross-checked. License: free sample data for educational/analysis use (mirrors note educational use; full provenance in Sources_and_Verification.md). Date range 2014-01-03 to 2017-12-30; 5,009 distinct orders; 3 categories; 17 sub-categories; 4 regions; currency USD.</w:t>
      </w:r>
    </w:p>
    <w:tbl>
      <w:tblPr>
        <w:tblStyle w:val="LightGrid-Accent1"/>
        <w:tblW w:type="auto" w:w="0"/>
        <w:jc w:val="center"/>
        <w:tblLayout w:type="fixed"/>
        <w:tblLook w:firstColumn="1" w:firstRow="1" w:lastColumn="0" w:lastRow="0" w:noHBand="0" w:noVBand="1" w:val="04A0"/>
      </w:tblPr>
      <w:tblGrid>
        <w:gridCol w:w="2232"/>
        <w:gridCol w:w="7128"/>
      </w:tblGrid>
      <w:tr>
        <w:trPr>
          <w:cantSplit/>
          <w:tblHeader/>
        </w:trPr>
        <w:tc>
          <w:tcPr>
            <w:tcW w:type="dxa" w:w="2232"/>
          </w:tcPr>
          <w:p>
            <w:pPr>
              <w:keepNext/>
              <w:keepLines/>
            </w:pPr>
            <w:r>
              <w:rPr>
                <w:rFonts w:ascii="Times New Roman" w:hAnsi="Times New Roman"/>
              </w:rPr>
            </w:r>
            <w:r>
              <w:rPr>
                <w:rFonts w:ascii="Times New Roman" w:hAnsi="Times New Roman"/>
                <w:b/>
                <w:sz w:val="20"/>
              </w:rPr>
              <w:t>Item</w:t>
            </w:r>
          </w:p>
        </w:tc>
        <w:tc>
          <w:tcPr>
            <w:tcW w:type="dxa" w:w="7128"/>
          </w:tcPr>
          <w:p>
            <w:pPr>
              <w:keepNext/>
              <w:keepLines/>
            </w:pPr>
            <w:r>
              <w:rPr>
                <w:rFonts w:ascii="Times New Roman" w:hAnsi="Times New Roman"/>
              </w:rPr>
            </w:r>
            <w:r>
              <w:rPr>
                <w:rFonts w:ascii="Times New Roman" w:hAnsi="Times New Roman"/>
                <w:b/>
                <w:sz w:val="20"/>
              </w:rPr>
              <w:t>Detail</w:t>
            </w:r>
          </w:p>
        </w:tc>
      </w:tr>
      <w:tr>
        <w:trPr>
          <w:cantSplit/>
        </w:trPr>
        <w:tc>
          <w:tcPr>
            <w:tcW w:type="dxa" w:w="2232"/>
          </w:tcPr>
          <w:p>
            <w:pPr>
              <w:keepNext/>
              <w:keepLines/>
            </w:pPr>
            <w:r>
              <w:rPr>
                <w:rFonts w:ascii="Times New Roman" w:hAnsi="Times New Roman"/>
              </w:rPr>
            </w:r>
            <w:r>
              <w:rPr>
                <w:rFonts w:ascii="Times New Roman" w:hAnsi="Times New Roman"/>
                <w:sz w:val="20"/>
              </w:rPr>
              <w:t>Rows / Orders</w:t>
            </w:r>
          </w:p>
        </w:tc>
        <w:tc>
          <w:tcPr>
            <w:tcW w:type="dxa" w:w="7128"/>
          </w:tcPr>
          <w:p>
            <w:pPr>
              <w:keepNext/>
              <w:keepLines/>
            </w:pPr>
            <w:r>
              <w:rPr>
                <w:rFonts w:ascii="Times New Roman" w:hAnsi="Times New Roman"/>
              </w:rPr>
            </w:r>
            <w:r>
              <w:rPr>
                <w:rFonts w:ascii="Times New Roman" w:hAnsi="Times New Roman"/>
                <w:sz w:val="20"/>
              </w:rPr>
              <w:t>9,994 lines / 5,009 orders</w:t>
            </w:r>
          </w:p>
        </w:tc>
      </w:tr>
      <w:tr>
        <w:trPr>
          <w:cantSplit/>
        </w:trPr>
        <w:tc>
          <w:tcPr>
            <w:tcW w:type="dxa" w:w="2232"/>
          </w:tcPr>
          <w:p>
            <w:pPr>
              <w:keepNext/>
              <w:keepLines/>
            </w:pPr>
            <w:r>
              <w:rPr>
                <w:rFonts w:ascii="Times New Roman" w:hAnsi="Times New Roman"/>
              </w:rPr>
            </w:r>
            <w:r>
              <w:rPr>
                <w:rFonts w:ascii="Times New Roman" w:hAnsi="Times New Roman"/>
                <w:sz w:val="20"/>
              </w:rPr>
              <w:t>Period</w:t>
            </w:r>
          </w:p>
        </w:tc>
        <w:tc>
          <w:tcPr>
            <w:tcW w:type="dxa" w:w="7128"/>
          </w:tcPr>
          <w:p>
            <w:pPr>
              <w:keepNext/>
              <w:keepLines/>
            </w:pPr>
            <w:r>
              <w:rPr>
                <w:rFonts w:ascii="Times New Roman" w:hAnsi="Times New Roman"/>
              </w:rPr>
            </w:r>
            <w:r>
              <w:rPr>
                <w:rFonts w:ascii="Times New Roman" w:hAnsi="Times New Roman"/>
                <w:sz w:val="20"/>
              </w:rPr>
              <w:t>2014-01-03 to 2017-12-30 (48 months)</w:t>
            </w:r>
          </w:p>
        </w:tc>
      </w:tr>
      <w:tr>
        <w:trPr>
          <w:cantSplit/>
        </w:trPr>
        <w:tc>
          <w:tcPr>
            <w:tcW w:type="dxa" w:w="2232"/>
          </w:tcPr>
          <w:p>
            <w:pPr>
              <w:keepNext/>
              <w:keepLines/>
            </w:pPr>
            <w:r>
              <w:rPr>
                <w:rFonts w:ascii="Times New Roman" w:hAnsi="Times New Roman"/>
              </w:rPr>
            </w:r>
            <w:r>
              <w:rPr>
                <w:rFonts w:ascii="Times New Roman" w:hAnsi="Times New Roman"/>
                <w:sz w:val="20"/>
              </w:rPr>
              <w:t>Categories</w:t>
            </w:r>
          </w:p>
        </w:tc>
        <w:tc>
          <w:tcPr>
            <w:tcW w:type="dxa" w:w="7128"/>
          </w:tcPr>
          <w:p>
            <w:pPr>
              <w:keepNext/>
              <w:keepLines/>
            </w:pPr>
            <w:r>
              <w:rPr>
                <w:rFonts w:ascii="Times New Roman" w:hAnsi="Times New Roman"/>
              </w:rPr>
            </w:r>
            <w:r>
              <w:rPr>
                <w:rFonts w:ascii="Times New Roman" w:hAnsi="Times New Roman"/>
                <w:sz w:val="20"/>
              </w:rPr>
              <w:t>Furniture (2,121) • Office Supplies (6,026) • Technology (1,847)</w:t>
            </w:r>
          </w:p>
        </w:tc>
      </w:tr>
      <w:tr>
        <w:trPr>
          <w:cantSplit/>
        </w:trPr>
        <w:tc>
          <w:tcPr>
            <w:tcW w:type="dxa" w:w="2232"/>
          </w:tcPr>
          <w:p>
            <w:pPr>
              <w:keepNext/>
              <w:keepLines/>
            </w:pPr>
            <w:r>
              <w:rPr>
                <w:rFonts w:ascii="Times New Roman" w:hAnsi="Times New Roman"/>
              </w:rPr>
            </w:r>
            <w:r>
              <w:rPr>
                <w:rFonts w:ascii="Times New Roman" w:hAnsi="Times New Roman"/>
                <w:sz w:val="20"/>
              </w:rPr>
              <w:t>Revenue field</w:t>
            </w:r>
          </w:p>
        </w:tc>
        <w:tc>
          <w:tcPr>
            <w:tcW w:type="dxa" w:w="7128"/>
          </w:tcPr>
          <w:p>
            <w:pPr>
              <w:keepNext/>
              <w:keepLines/>
            </w:pPr>
            <w:r>
              <w:rPr>
                <w:rFonts w:ascii="Times New Roman" w:hAnsi="Times New Roman"/>
              </w:rPr>
            </w:r>
            <w:r>
              <w:rPr>
                <w:rFonts w:ascii="Times New Roman" w:hAnsi="Times New Roman"/>
                <w:sz w:val="20"/>
              </w:rPr>
              <w:t>Sales — recorded line revenue (USD)</w:t>
            </w:r>
          </w:p>
        </w:tc>
      </w:tr>
      <w:tr>
        <w:trPr>
          <w:cantSplit/>
        </w:trPr>
        <w:tc>
          <w:tcPr>
            <w:tcW w:type="dxa" w:w="2232"/>
          </w:tcPr>
          <w:p>
            <w:pPr>
              <w:keepNext/>
              <w:keepLines/>
            </w:pPr>
            <w:r>
              <w:rPr>
                <w:rFonts w:ascii="Times New Roman" w:hAnsi="Times New Roman"/>
              </w:rPr>
            </w:r>
            <w:r>
              <w:rPr>
                <w:rFonts w:ascii="Times New Roman" w:hAnsi="Times New Roman"/>
                <w:sz w:val="20"/>
              </w:rPr>
              <w:t>Cost basis</w:t>
            </w:r>
          </w:p>
        </w:tc>
        <w:tc>
          <w:tcPr>
            <w:tcW w:type="dxa" w:w="7128"/>
          </w:tcPr>
          <w:p>
            <w:pPr>
              <w:keepNext/>
              <w:keepLines/>
            </w:pPr>
            <w:r>
              <w:rPr>
                <w:rFonts w:ascii="Times New Roman" w:hAnsi="Times New Roman"/>
              </w:rPr>
            </w:r>
            <w:r>
              <w:rPr>
                <w:rFonts w:ascii="Times New Roman" w:hAnsi="Times New Roman"/>
                <w:sz w:val="20"/>
              </w:rPr>
              <w:t>Derived TotalCost = Sales − Profit (dataset defines Profit = Sales − Cost)</w:t>
            </w:r>
          </w:p>
        </w:tc>
      </w:tr>
      <w:tr>
        <w:trPr>
          <w:cantSplit/>
        </w:trPr>
        <w:tc>
          <w:tcPr>
            <w:tcW w:type="dxa" w:w="2232"/>
          </w:tcPr>
          <w:p>
            <w:pPr>
              <w:keepNext/>
              <w:keepLines/>
            </w:pPr>
            <w:r>
              <w:rPr>
                <w:rFonts w:ascii="Times New Roman" w:hAnsi="Times New Roman"/>
              </w:rPr>
            </w:r>
            <w:r>
              <w:rPr>
                <w:rFonts w:ascii="Times New Roman" w:hAnsi="Times New Roman"/>
                <w:sz w:val="20"/>
              </w:rPr>
              <w:t>Profit field</w:t>
            </w:r>
          </w:p>
        </w:tc>
        <w:tc>
          <w:tcPr>
            <w:tcW w:type="dxa" w:w="7128"/>
          </w:tcPr>
          <w:p>
            <w:pPr>
              <w:keepNext/>
              <w:keepLines/>
            </w:pPr>
            <w:r>
              <w:rPr>
                <w:rFonts w:ascii="Times New Roman" w:hAnsi="Times New Roman"/>
              </w:rPr>
            </w:r>
            <w:r>
              <w:rPr>
                <w:rFonts w:ascii="Times New Roman" w:hAnsi="Times New Roman"/>
                <w:sz w:val="20"/>
              </w:rPr>
              <w:t>Profit — recorded line profit/loss (USD, negatives kept)</w:t>
            </w:r>
          </w:p>
        </w:tc>
      </w:tr>
      <w:tr>
        <w:trPr>
          <w:cantSplit/>
        </w:trPr>
        <w:tc>
          <w:tcPr>
            <w:tcW w:type="dxa" w:w="2232"/>
          </w:tcPr>
          <w:p>
            <w:pPr>
              <w:keepNext w:val="0"/>
              <w:keepLines/>
            </w:pPr>
            <w:r>
              <w:rPr>
                <w:rFonts w:ascii="Times New Roman" w:hAnsi="Times New Roman"/>
              </w:rPr>
            </w:r>
            <w:r>
              <w:rPr>
                <w:rFonts w:ascii="Times New Roman" w:hAnsi="Times New Roman"/>
                <w:sz w:val="20"/>
              </w:rPr>
              <w:t>Raw preservation</w:t>
            </w:r>
          </w:p>
        </w:tc>
        <w:tc>
          <w:tcPr>
            <w:tcW w:type="dxa" w:w="7128"/>
          </w:tcPr>
          <w:p>
            <w:pPr>
              <w:keepNext w:val="0"/>
              <w:keepLines/>
            </w:pPr>
            <w:r>
              <w:rPr>
                <w:rFonts w:ascii="Times New Roman" w:hAnsi="Times New Roman"/>
              </w:rPr>
            </w:r>
            <w:r>
              <w:rPr>
                <w:rFonts w:ascii="Times New Roman" w:hAnsi="Times New Roman"/>
                <w:sz w:val="20"/>
              </w:rPr>
              <w:t>source/superstore_full.csv kept byte-identical; workbook sheet 01 holds first 500 rows for audit</w:t>
            </w:r>
          </w:p>
        </w:tc>
      </w:tr>
    </w:tbl>
    <w:p>
      <w:pPr>
        <w:pStyle w:val="Heading1"/>
      </w:pPr>
      <w:r>
        <w:t>5. Accounting Formulas / Calculations</w:t>
      </w:r>
    </w:p>
    <w:p>
      <w:pPr>
        <w:pStyle w:val="ListBullet"/>
      </w:pPr>
      <w:r>
        <w:rPr>
          <w:rFonts w:ascii="Times New Roman" w:hAnsi="Times New Roman"/>
          <w:b/>
          <w:sz w:val="24"/>
        </w:rPr>
        <w:t xml:space="preserve">Revenue = Σ Sales. </w:t>
      </w:r>
      <w:r>
        <w:rPr>
          <w:rFonts w:ascii="Times New Roman" w:hAnsi="Times New Roman"/>
          <w:sz w:val="24"/>
        </w:rPr>
        <w:t>Each line's Sales is the money received. Total Revenue = $2,297,200.86.</w:t>
      </w:r>
    </w:p>
    <w:p>
      <w:pPr>
        <w:pStyle w:val="ListBullet"/>
      </w:pPr>
      <w:r>
        <w:rPr>
          <w:rFonts w:ascii="Times New Roman" w:hAnsi="Times New Roman"/>
          <w:b/>
          <w:sz w:val="24"/>
        </w:rPr>
        <w:t xml:space="preserve">Total Cost = Σ (Sales − Profit). </w:t>
      </w:r>
      <w:r>
        <w:rPr>
          <w:rFonts w:ascii="Times New Roman" w:hAnsi="Times New Roman"/>
          <w:sz w:val="24"/>
        </w:rPr>
        <w:t>Because the dataset defines Profit as Sales minus product cost, cost is recovered exactly with no estimation. Total Cost = $2,010,803.84.</w:t>
      </w:r>
    </w:p>
    <w:p>
      <w:pPr>
        <w:pStyle w:val="ListBullet"/>
      </w:pPr>
      <w:r>
        <w:rPr>
          <w:rFonts w:ascii="Times New Roman" w:hAnsi="Times New Roman"/>
          <w:b/>
          <w:sz w:val="24"/>
        </w:rPr>
        <w:t xml:space="preserve">Profit = Σ Profit (recorded). </w:t>
      </w:r>
      <w:r>
        <w:rPr>
          <w:rFonts w:ascii="Times New Roman" w:hAnsi="Times New Roman"/>
          <w:sz w:val="24"/>
        </w:rPr>
        <w:t>Negatives are real losses and are kept. Total Profit = $286,397.02.</w:t>
      </w:r>
    </w:p>
    <w:p>
      <w:pPr>
        <w:pStyle w:val="ListBullet"/>
      </w:pPr>
      <w:r>
        <w:rPr>
          <w:rFonts w:ascii="Times New Roman" w:hAnsi="Times New Roman"/>
          <w:b/>
          <w:sz w:val="24"/>
        </w:rPr>
        <w:t xml:space="preserve">Profit Margin = Total Profit ÷ Total Revenue × 100. </w:t>
      </w:r>
      <w:r>
        <w:rPr>
          <w:rFonts w:ascii="Times New Roman" w:hAnsi="Times New Roman"/>
          <w:sz w:val="24"/>
        </w:rPr>
        <w:t>Margin = 286,397.02 ÷ 2,297,200.86 = 12.47%. Row margin = Profit ÷ Sales.</w:t>
      </w:r>
    </w:p>
    <w:p>
      <w:pPr>
        <w:pStyle w:val="ListBullet"/>
      </w:pPr>
      <w:r>
        <w:rPr>
          <w:rFonts w:ascii="Times New Roman" w:hAnsi="Times New Roman"/>
          <w:b/>
          <w:sz w:val="24"/>
        </w:rPr>
        <w:t xml:space="preserve">Contribution &amp; BEP — NOT computed (limitation). </w:t>
      </w:r>
      <w:r>
        <w:rPr>
          <w:rFonts w:ascii="Times New Roman" w:hAnsi="Times New Roman"/>
          <w:sz w:val="24"/>
        </w:rPr>
        <w:t>Contribution needs a variable-cost split and BEP needs fixed costs; the dataset gives neither. Theory: Contribution = Sales − Variable Cost; BEP (units) = Fixed Cost ÷ (Price − Variable Cost). Without that split any BEP number would be invented, so none is claimed.</w:t>
      </w:r>
    </w:p>
    <w:p>
      <w:r>
        <w:rPr>
          <w:rFonts w:ascii="Times New Roman" w:hAnsi="Times New Roman"/>
          <w:b w:val="0"/>
          <w:i/>
          <w:sz w:val="22"/>
        </w:rPr>
        <w:t>Worked example (first cleaned row): Sales $16.4480, Profit $5.5512 → derived TotalCost $10.8968; row margin 33.75%. The cost and margin columns contain live formulas, and total margin is calculated from aggregate profit divided by aggregate revenue.</w:t>
      </w:r>
    </w:p>
    <w:p>
      <w:r>
        <w:rPr>
          <w:rFonts w:ascii="Times New Roman" w:hAnsi="Times New Roman"/>
          <w:b w:val="0"/>
          <w:i/>
          <w:sz w:val="22"/>
        </w:rPr>
        <w:t>Shipping note: Ship Mode is a delivery option only. No shipping-cost column exists, so nothing here treats shipping labels as expenses.</w:t>
      </w:r>
    </w:p>
    <w:p>
      <w:pPr>
        <w:pStyle w:val="Heading1"/>
      </w:pPr>
      <w:r>
        <w:t>6. Data Preparation</w:t>
      </w:r>
    </w:p>
    <w:p>
      <w:pPr>
        <w:pStyle w:val="ListBullet"/>
        <w:keepNext/>
        <w:keepLines/>
        <w:spacing w:after="80"/>
      </w:pPr>
      <w:r>
        <w:t>Kept the raw CSV untouched; all preparation uses copies.</w:t>
      </w:r>
    </w:p>
    <w:p>
      <w:pPr>
        <w:pStyle w:val="ListBullet"/>
        <w:keepNext/>
        <w:keepLines/>
        <w:spacing w:after="80"/>
      </w:pPr>
      <w:r>
        <w:t>Parsed Order and Ship dates, retained all 9,994 records, and added Year, Month and YearMonth.</w:t>
      </w:r>
    </w:p>
    <w:p>
      <w:pPr>
        <w:pStyle w:val="ListBullet"/>
        <w:keepNext/>
        <w:keepLines/>
        <w:spacing w:after="80"/>
      </w:pPr>
      <w:r>
        <w:t>Created Revenue (=Sales), TotalCost (=Sales−Profit), recorded Profit and Row Margin (=Profit/Sales).</w:t>
      </w:r>
    </w:p>
    <w:p>
      <w:pPr>
        <w:pStyle w:val="ListBullet"/>
        <w:keepNext/>
        <w:keepLines/>
        <w:spacing w:after="80"/>
      </w:pPr>
      <w:r>
        <w:t>Sorted chronologically; reconciled Python totals against Excel formulas to $0.01.</w:t>
      </w:r>
    </w:p>
    <w:p>
      <w:pPr>
        <w:pStyle w:val="ListBullet"/>
        <w:keepNext w:val="0"/>
        <w:keepLines/>
        <w:spacing w:after="80"/>
      </w:pPr>
      <w:r>
        <w:t>Built formula-based Category and Monthly analysis tables and the four-KPI summary.</w:t>
      </w:r>
    </w:p>
    <w:p>
      <w:pPr>
        <w:pStyle w:val="Heading1"/>
      </w:pPr>
      <w:r>
        <w:t>7. Actual Google Looker Studio Dashboard</w:t>
      </w:r>
    </w:p>
    <w:p>
      <w:r>
        <w:rPr>
          <w:rFonts w:ascii="Times New Roman" w:hAnsi="Times New Roman"/>
          <w:b/>
          <w:i w:val="0"/>
          <w:sz w:val="24"/>
        </w:rPr>
        <w:t xml:space="preserve">STATUS: LIVE — built with browser automation on the student's Google account; no mockup is passed off as real. </w:t>
      </w:r>
    </w:p>
    <w:p>
      <w:pPr>
        <w:pStyle w:val="ListBullet"/>
        <w:keepLines/>
      </w:pPr>
      <w:r>
        <w:rPr>
          <w:rFonts w:ascii="Times New Roman" w:hAnsi="Times New Roman"/>
          <w:b/>
          <w:sz w:val="24"/>
        </w:rPr>
        <w:t xml:space="preserve">Live URL — </w:t>
      </w:r>
      <w:r>
        <w:rPr>
          <w:rFonts w:ascii="Times New Roman" w:hAnsi="Times New Roman"/>
          <w:b w:val="0"/>
          <w:sz w:val="24"/>
        </w:rPr>
        <w:t>https://datastudio.google.com/reporting/3b46a509-48ea-4203-ab94-efd1706be403/page/0h6AG. Public opening without login was verified. Unlisted sharing permits anyone with the link to view; the owner remains Owner.</w:t>
      </w:r>
    </w:p>
    <w:p>
      <w:pPr>
        <w:pStyle w:val="ListBullet"/>
        <w:keepLines/>
      </w:pPr>
      <w:r>
        <w:rPr>
          <w:rFonts w:ascii="Times New Roman" w:hAnsi="Times New Roman"/>
          <w:b/>
          <w:sz w:val="24"/>
        </w:rPr>
        <w:t xml:space="preserve">Source — </w:t>
      </w:r>
      <w:r>
        <w:rPr>
          <w:rFonts w:ascii="Times New Roman" w:hAnsi="Times New Roman"/>
          <w:b w:val="0"/>
          <w:sz w:val="24"/>
        </w:rPr>
        <w:t>FCA_Looker_Source (Google Sheet converted from FCA_Looker_Source.csv, 9,994 records). Revenue, TotalCost and Profit are numeric fields aggregated by Sum. The report title contains no static KPI values.</w:t>
      </w:r>
    </w:p>
    <w:p>
      <w:pPr>
        <w:pStyle w:val="ListBullet"/>
        <w:keepLines/>
      </w:pPr>
      <w:r>
        <w:rPr>
          <w:rFonts w:ascii="Times New Roman" w:hAnsi="Times New Roman"/>
          <w:b/>
          <w:sz w:val="24"/>
        </w:rPr>
        <w:t xml:space="preserve">Widgets — </w:t>
      </w:r>
      <w:r>
        <w:rPr>
          <w:rFonts w:ascii="Times New Roman" w:hAnsi="Times New Roman"/>
          <w:b w:val="0"/>
          <w:sz w:val="24"/>
        </w:rPr>
        <w:t>Four genuine scorecards: SUM(Revenue), SUM(TotalCost), SUM(Profit), and SUM(Profit)/SUM(Revenue). The first three are USD currency; margin is Percent. Existing bar, daily time-series and pie charts remain connected. Date, Category and Region controls are available to viewers.</w:t>
      </w:r>
    </w:p>
    <w:p>
      <w:pPr>
        <w:pStyle w:val="ListBullet"/>
        <w:keepLines/>
      </w:pPr>
      <w:r>
        <w:rPr>
          <w:rFonts w:ascii="Times New Roman" w:hAnsi="Times New Roman"/>
          <w:b/>
          <w:sz w:val="24"/>
        </w:rPr>
        <w:t xml:space="preserve">Verification — </w:t>
      </w:r>
      <w:r>
        <w:rPr>
          <w:rFonts w:ascii="Times New Roman" w:hAnsi="Times New Roman"/>
          <w:b w:val="0"/>
          <w:sz w:val="24"/>
        </w:rPr>
        <w:t>All four unfiltered scorecards match workbook sheet 07. Technology filtering gives $836,154.03 revenue, $690,699.08 cost, $145,454.95 profit and 17.40% margin. The 2017 date filter gives $733,215.26, $639,775.99, $93,439.27 and 12.74%. Both tests independently reconcile to the CSV. Historical failed attempts remain preserved; static substitutions have been removed.</w:t>
      </w:r>
    </w:p>
    <w:p>
      <w:pPr>
        <w:pStyle w:val="Heading1"/>
      </w:pPr>
      <w:r>
        <w:t>8. KPI Cards: Total Revenue, Total Cost, Total Profit, Profit Margin</w:t>
      </w:r>
    </w:p>
    <w:tbl>
      <w:tblPr>
        <w:tblStyle w:val="LightGrid-Accent1"/>
        <w:tblW w:type="auto" w:w="0"/>
        <w:jc w:val="center"/>
        <w:tblLayout w:type="fixed"/>
        <w:tblLook w:firstColumn="1" w:firstRow="1" w:lastColumn="0" w:lastRow="0" w:noHBand="0" w:noVBand="1" w:val="04A0"/>
      </w:tblPr>
      <w:tblGrid>
        <w:gridCol w:w="2592"/>
        <w:gridCol w:w="2592"/>
        <w:gridCol w:w="4176"/>
      </w:tblGrid>
      <w:tr>
        <w:trPr>
          <w:cantSplit/>
          <w:tblHeader/>
        </w:trPr>
        <w:tc>
          <w:tcPr>
            <w:tcW w:type="dxa" w:w="2592"/>
          </w:tcPr>
          <w:p>
            <w:pPr>
              <w:keepNext/>
              <w:keepLines/>
            </w:pPr>
            <w:r>
              <w:rPr>
                <w:rFonts w:ascii="Times New Roman" w:hAnsi="Times New Roman"/>
              </w:rPr>
            </w:r>
            <w:r>
              <w:rPr>
                <w:rFonts w:ascii="Times New Roman" w:hAnsi="Times New Roman"/>
                <w:b/>
                <w:sz w:val="20"/>
              </w:rPr>
              <w:t>KPI Card</w:t>
            </w:r>
          </w:p>
        </w:tc>
        <w:tc>
          <w:tcPr>
            <w:tcW w:type="dxa" w:w="2592"/>
          </w:tcPr>
          <w:p>
            <w:pPr>
              <w:keepNext/>
              <w:keepLines/>
            </w:pPr>
            <w:r>
              <w:rPr>
                <w:rFonts w:ascii="Times New Roman" w:hAnsi="Times New Roman"/>
              </w:rPr>
            </w:r>
            <w:r>
              <w:rPr>
                <w:rFonts w:ascii="Times New Roman" w:hAnsi="Times New Roman"/>
                <w:b/>
                <w:sz w:val="20"/>
              </w:rPr>
              <w:t>Value</w:t>
            </w:r>
          </w:p>
        </w:tc>
        <w:tc>
          <w:tcPr>
            <w:tcW w:type="dxa" w:w="4176"/>
          </w:tcPr>
          <w:p>
            <w:pPr>
              <w:keepNext/>
              <w:keepLines/>
            </w:pPr>
            <w:r>
              <w:rPr>
                <w:rFonts w:ascii="Times New Roman" w:hAnsi="Times New Roman"/>
              </w:rPr>
            </w:r>
            <w:r>
              <w:rPr>
                <w:rFonts w:ascii="Times New Roman" w:hAnsi="Times New Roman"/>
                <w:b/>
                <w:sz w:val="20"/>
              </w:rPr>
              <w:t>How it is aggregated</w:t>
            </w:r>
          </w:p>
        </w:tc>
      </w:tr>
      <w:tr>
        <w:trPr>
          <w:cantSplit/>
        </w:trPr>
        <w:tc>
          <w:tcPr>
            <w:tcW w:type="dxa" w:w="2592"/>
          </w:tcPr>
          <w:p>
            <w:pPr>
              <w:keepNext/>
              <w:keepLines/>
            </w:pPr>
            <w:r>
              <w:rPr>
                <w:rFonts w:ascii="Times New Roman" w:hAnsi="Times New Roman"/>
              </w:rPr>
            </w:r>
            <w:r>
              <w:rPr>
                <w:rFonts w:ascii="Times New Roman" w:hAnsi="Times New Roman"/>
                <w:sz w:val="20"/>
              </w:rPr>
              <w:t>Total Revenue</w:t>
            </w:r>
          </w:p>
        </w:tc>
        <w:tc>
          <w:tcPr>
            <w:tcW w:type="dxa" w:w="2592"/>
          </w:tcPr>
          <w:p>
            <w:pPr>
              <w:keepNext/>
              <w:keepLines/>
            </w:pPr>
            <w:r>
              <w:rPr>
                <w:rFonts w:ascii="Times New Roman" w:hAnsi="Times New Roman"/>
              </w:rPr>
            </w:r>
            <w:r>
              <w:rPr>
                <w:rFonts w:ascii="Times New Roman" w:hAnsi="Times New Roman"/>
                <w:sz w:val="20"/>
              </w:rPr>
              <w:t>$2,297,200.86</w:t>
            </w:r>
          </w:p>
        </w:tc>
        <w:tc>
          <w:tcPr>
            <w:tcW w:type="dxa" w:w="4176"/>
          </w:tcPr>
          <w:p>
            <w:pPr>
              <w:keepNext/>
              <w:keepLines/>
            </w:pPr>
            <w:r>
              <w:rPr>
                <w:rFonts w:ascii="Times New Roman" w:hAnsi="Times New Roman"/>
              </w:rPr>
            </w:r>
            <w:r>
              <w:rPr>
                <w:rFonts w:ascii="Times New Roman" w:hAnsi="Times New Roman"/>
                <w:sz w:val="20"/>
              </w:rPr>
              <w:t>SUM(Revenue)</w:t>
            </w:r>
          </w:p>
        </w:tc>
      </w:tr>
      <w:tr>
        <w:trPr>
          <w:cantSplit/>
        </w:trPr>
        <w:tc>
          <w:tcPr>
            <w:tcW w:type="dxa" w:w="2592"/>
          </w:tcPr>
          <w:p>
            <w:pPr>
              <w:keepNext/>
              <w:keepLines/>
            </w:pPr>
            <w:r>
              <w:rPr>
                <w:rFonts w:ascii="Times New Roman" w:hAnsi="Times New Roman"/>
              </w:rPr>
            </w:r>
            <w:r>
              <w:rPr>
                <w:rFonts w:ascii="Times New Roman" w:hAnsi="Times New Roman"/>
                <w:sz w:val="20"/>
              </w:rPr>
              <w:t>Total Cost</w:t>
            </w:r>
          </w:p>
        </w:tc>
        <w:tc>
          <w:tcPr>
            <w:tcW w:type="dxa" w:w="2592"/>
          </w:tcPr>
          <w:p>
            <w:pPr>
              <w:keepNext/>
              <w:keepLines/>
            </w:pPr>
            <w:r>
              <w:rPr>
                <w:rFonts w:ascii="Times New Roman" w:hAnsi="Times New Roman"/>
              </w:rPr>
            </w:r>
            <w:r>
              <w:rPr>
                <w:rFonts w:ascii="Times New Roman" w:hAnsi="Times New Roman"/>
                <w:sz w:val="20"/>
              </w:rPr>
              <w:t>$2,010,803.84</w:t>
            </w:r>
          </w:p>
        </w:tc>
        <w:tc>
          <w:tcPr>
            <w:tcW w:type="dxa" w:w="4176"/>
          </w:tcPr>
          <w:p>
            <w:pPr>
              <w:keepNext/>
              <w:keepLines/>
            </w:pPr>
            <w:r>
              <w:rPr>
                <w:rFonts w:ascii="Times New Roman" w:hAnsi="Times New Roman"/>
              </w:rPr>
            </w:r>
            <w:r>
              <w:rPr>
                <w:rFonts w:ascii="Times New Roman" w:hAnsi="Times New Roman"/>
                <w:sz w:val="20"/>
              </w:rPr>
              <w:t>SUM(TotalCost)</w:t>
            </w:r>
          </w:p>
        </w:tc>
      </w:tr>
      <w:tr>
        <w:trPr>
          <w:cantSplit/>
        </w:trPr>
        <w:tc>
          <w:tcPr>
            <w:tcW w:type="dxa" w:w="2592"/>
          </w:tcPr>
          <w:p>
            <w:pPr>
              <w:keepNext/>
              <w:keepLines/>
            </w:pPr>
            <w:r>
              <w:rPr>
                <w:rFonts w:ascii="Times New Roman" w:hAnsi="Times New Roman"/>
              </w:rPr>
            </w:r>
            <w:r>
              <w:rPr>
                <w:rFonts w:ascii="Times New Roman" w:hAnsi="Times New Roman"/>
                <w:sz w:val="20"/>
              </w:rPr>
              <w:t>Total Profit</w:t>
            </w:r>
          </w:p>
        </w:tc>
        <w:tc>
          <w:tcPr>
            <w:tcW w:type="dxa" w:w="2592"/>
          </w:tcPr>
          <w:p>
            <w:pPr>
              <w:keepNext/>
              <w:keepLines/>
            </w:pPr>
            <w:r>
              <w:rPr>
                <w:rFonts w:ascii="Times New Roman" w:hAnsi="Times New Roman"/>
              </w:rPr>
            </w:r>
            <w:r>
              <w:rPr>
                <w:rFonts w:ascii="Times New Roman" w:hAnsi="Times New Roman"/>
                <w:sz w:val="20"/>
              </w:rPr>
              <w:t>$286,397.02</w:t>
            </w:r>
          </w:p>
        </w:tc>
        <w:tc>
          <w:tcPr>
            <w:tcW w:type="dxa" w:w="4176"/>
          </w:tcPr>
          <w:p>
            <w:pPr>
              <w:keepNext/>
              <w:keepLines/>
            </w:pPr>
            <w:r>
              <w:rPr>
                <w:rFonts w:ascii="Times New Roman" w:hAnsi="Times New Roman"/>
              </w:rPr>
            </w:r>
            <w:r>
              <w:rPr>
                <w:rFonts w:ascii="Times New Roman" w:hAnsi="Times New Roman"/>
                <w:sz w:val="20"/>
              </w:rPr>
              <w:t>SUM(Profit)</w:t>
            </w:r>
          </w:p>
        </w:tc>
      </w:tr>
      <w:tr>
        <w:trPr>
          <w:cantSplit/>
        </w:trPr>
        <w:tc>
          <w:tcPr>
            <w:tcW w:type="dxa" w:w="2592"/>
          </w:tcPr>
          <w:p>
            <w:pPr>
              <w:keepNext w:val="0"/>
              <w:keepLines/>
            </w:pPr>
            <w:r>
              <w:rPr>
                <w:rFonts w:ascii="Times New Roman" w:hAnsi="Times New Roman"/>
              </w:rPr>
            </w:r>
            <w:r>
              <w:rPr>
                <w:rFonts w:ascii="Times New Roman" w:hAnsi="Times New Roman"/>
                <w:sz w:val="20"/>
              </w:rPr>
              <w:t>Profit Margin</w:t>
            </w:r>
          </w:p>
        </w:tc>
        <w:tc>
          <w:tcPr>
            <w:tcW w:type="dxa" w:w="2592"/>
          </w:tcPr>
          <w:p>
            <w:pPr>
              <w:keepNext w:val="0"/>
              <w:keepLines/>
            </w:pPr>
            <w:r>
              <w:rPr>
                <w:rFonts w:ascii="Times New Roman" w:hAnsi="Times New Roman"/>
              </w:rPr>
            </w:r>
            <w:r>
              <w:rPr>
                <w:rFonts w:ascii="Times New Roman" w:hAnsi="Times New Roman"/>
                <w:sz w:val="20"/>
              </w:rPr>
              <w:t>12.47%</w:t>
            </w:r>
          </w:p>
        </w:tc>
        <w:tc>
          <w:tcPr>
            <w:tcW w:type="dxa" w:w="4176"/>
          </w:tcPr>
          <w:p>
            <w:pPr>
              <w:keepNext w:val="0"/>
              <w:keepLines/>
            </w:pPr>
            <w:r>
              <w:rPr>
                <w:rFonts w:ascii="Times New Roman" w:hAnsi="Times New Roman"/>
              </w:rPr>
            </w:r>
            <w:r>
              <w:rPr>
                <w:rFonts w:ascii="Times New Roman" w:hAnsi="Times New Roman"/>
                <w:sz w:val="20"/>
              </w:rPr>
              <w:t>SUM(Profit) ÷ SUM(Revenue)</w:t>
            </w:r>
          </w:p>
        </w:tc>
      </w:tr>
    </w:tbl>
    <w:p>
      <w:r>
        <w:rPr>
          <w:rFonts w:ascii="Times New Roman" w:hAnsi="Times New Roman"/>
          <w:b w:val="0"/>
          <w:i/>
          <w:sz w:val="22"/>
        </w:rPr>
        <w:t>Workbook reference: 07_KPI_Summary contains live formulas linked to cleaned totals. Figures 5–6 show four genuine Looker scorecards. Profit Margin is calculated from the aggregate totals, not by averaging row margins.</w:t>
      </w:r>
    </w:p>
    <w:p>
      <w:pPr>
        <w:pStyle w:val="Heading1"/>
      </w:pPr>
      <w:r>
        <w:t>9. Charts: Revenue, Cost, Profit, Product/Category-wise, Monthly/Trend</w:t>
      </w:r>
    </w:p>
    <w:p>
      <w:r>
        <w:rPr>
          <w:rFonts w:ascii="Times New Roman" w:hAnsi="Times New Roman"/>
          <w:b w:val="0"/>
          <w:i/>
          <w:sz w:val="22"/>
        </w:rPr>
        <w:t>All charts below come from the same reconciled data (workbook values). Units USD; aggregation SUM.</w:t>
      </w:r>
    </w:p>
    <w:p>
      <w:pPr>
        <w:keepNext/>
      </w:pPr>
      <w:r>
        <w:drawing>
          <wp:inline xmlns:a="http://schemas.openxmlformats.org/drawingml/2006/main" xmlns:pic="http://schemas.openxmlformats.org/drawingml/2006/picture">
            <wp:extent cx="5303520" cy="3030583"/>
            <wp:docPr id="1" name="Picture 1"/>
            <wp:cNvGraphicFramePr>
              <a:graphicFrameLocks noChangeAspect="1"/>
            </wp:cNvGraphicFramePr>
            <a:graphic>
              <a:graphicData uri="http://schemas.openxmlformats.org/drawingml/2006/picture">
                <pic:pic>
                  <pic:nvPicPr>
                    <pic:cNvPr id="0" name="chart_revenue_category.png"/>
                    <pic:cNvPicPr/>
                  </pic:nvPicPr>
                  <pic:blipFill>
                    <a:blip r:embed="rId10"/>
                    <a:stretch>
                      <a:fillRect/>
                    </a:stretch>
                  </pic:blipFill>
                  <pic:spPr>
                    <a:xfrm>
                      <a:off x="0" y="0"/>
                      <a:ext cx="5303520" cy="3030583"/>
                    </a:xfrm>
                    <a:prstGeom prst="rect"/>
                  </pic:spPr>
                </pic:pic>
              </a:graphicData>
            </a:graphic>
          </wp:inline>
        </w:drawing>
      </w:r>
    </w:p>
    <w:p>
      <w:pPr>
        <w:jc w:val="center"/>
      </w:pPr>
      <w:r>
        <w:rPr>
          <w:rFonts w:ascii="Times New Roman" w:hAnsi="Times New Roman"/>
          <w:b w:val="0"/>
          <w:i/>
          <w:color w:val="555555"/>
          <w:sz w:val="20"/>
        </w:rPr>
        <w:t>Figure 1 — Revenue by Category (Technology leads at $836,154; Furniture $742,000; Office Supplies $719,047).</w:t>
      </w:r>
    </w:p>
    <w:p>
      <w:pPr>
        <w:keepNext/>
      </w:pPr>
      <w:r>
        <w:drawing>
          <wp:inline xmlns:a="http://schemas.openxmlformats.org/drawingml/2006/main" xmlns:pic="http://schemas.openxmlformats.org/drawingml/2006/picture">
            <wp:extent cx="5303520" cy="3030583"/>
            <wp:docPr id="2" name="Picture 2"/>
            <wp:cNvGraphicFramePr>
              <a:graphicFrameLocks noChangeAspect="1"/>
            </wp:cNvGraphicFramePr>
            <a:graphic>
              <a:graphicData uri="http://schemas.openxmlformats.org/drawingml/2006/picture">
                <pic:pic>
                  <pic:nvPicPr>
                    <pic:cNvPr id="0" name="chart_cost_vs_rev.png"/>
                    <pic:cNvPicPr/>
                  </pic:nvPicPr>
                  <pic:blipFill>
                    <a:blip r:embed="rId11"/>
                    <a:stretch>
                      <a:fillRect/>
                    </a:stretch>
                  </pic:blipFill>
                  <pic:spPr>
                    <a:xfrm>
                      <a:off x="0" y="0"/>
                      <a:ext cx="5303520" cy="3030583"/>
                    </a:xfrm>
                    <a:prstGeom prst="rect"/>
                  </pic:spPr>
                </pic:pic>
              </a:graphicData>
            </a:graphic>
          </wp:inline>
        </w:drawing>
      </w:r>
    </w:p>
    <w:p>
      <w:pPr>
        <w:jc w:val="center"/>
      </w:pPr>
      <w:r>
        <w:rPr>
          <w:rFonts w:ascii="Times New Roman" w:hAnsi="Times New Roman"/>
          <w:b w:val="0"/>
          <w:i/>
          <w:color w:val="555555"/>
          <w:sz w:val="20"/>
        </w:rPr>
        <w:t>Figure 2 — Revenue vs Total Cost by Category (Furniture cost almost equals revenue — the margin problem).</w:t>
      </w:r>
    </w:p>
    <w:p>
      <w:pPr>
        <w:keepNext/>
      </w:pPr>
      <w:r>
        <w:drawing>
          <wp:inline xmlns:a="http://schemas.openxmlformats.org/drawingml/2006/main" xmlns:pic="http://schemas.openxmlformats.org/drawingml/2006/picture">
            <wp:extent cx="5303520" cy="3788229"/>
            <wp:docPr id="3" name="Picture 3"/>
            <wp:cNvGraphicFramePr>
              <a:graphicFrameLocks noChangeAspect="1"/>
            </wp:cNvGraphicFramePr>
            <a:graphic>
              <a:graphicData uri="http://schemas.openxmlformats.org/drawingml/2006/picture">
                <pic:pic>
                  <pic:nvPicPr>
                    <pic:cNvPr id="0" name="chart_profit_subcat.png"/>
                    <pic:cNvPicPr/>
                  </pic:nvPicPr>
                  <pic:blipFill>
                    <a:blip r:embed="rId12"/>
                    <a:stretch>
                      <a:fillRect/>
                    </a:stretch>
                  </pic:blipFill>
                  <pic:spPr>
                    <a:xfrm>
                      <a:off x="0" y="0"/>
                      <a:ext cx="5303520" cy="3788229"/>
                    </a:xfrm>
                    <a:prstGeom prst="rect"/>
                  </pic:spPr>
                </pic:pic>
              </a:graphicData>
            </a:graphic>
          </wp:inline>
        </w:drawing>
      </w:r>
    </w:p>
    <w:p>
      <w:pPr>
        <w:jc w:val="center"/>
      </w:pPr>
      <w:r>
        <w:rPr>
          <w:rFonts w:ascii="Times New Roman" w:hAnsi="Times New Roman"/>
          <w:b w:val="0"/>
          <w:i/>
          <w:color w:val="555555"/>
          <w:sz w:val="20"/>
        </w:rPr>
        <w:t>Figure 3 — Profit by Sub-Category (Tables −$17,725, Bookcases −$3,473 and Supplies −$1,189 in red; Copiers +$55,618 and Paper +$34,054 lead).</w:t>
      </w:r>
    </w:p>
    <w:p>
      <w:pPr>
        <w:keepNext/>
      </w:pPr>
      <w:r>
        <w:drawing>
          <wp:inline xmlns:a="http://schemas.openxmlformats.org/drawingml/2006/main" xmlns:pic="http://schemas.openxmlformats.org/drawingml/2006/picture">
            <wp:extent cx="5303520" cy="2386584"/>
            <wp:docPr id="4" name="Picture 4"/>
            <wp:cNvGraphicFramePr>
              <a:graphicFrameLocks noChangeAspect="1"/>
            </wp:cNvGraphicFramePr>
            <a:graphic>
              <a:graphicData uri="http://schemas.openxmlformats.org/drawingml/2006/picture">
                <pic:pic>
                  <pic:nvPicPr>
                    <pic:cNvPr id="0" name="chart_monthly_trend.png"/>
                    <pic:cNvPicPr/>
                  </pic:nvPicPr>
                  <pic:blipFill>
                    <a:blip r:embed="rId13"/>
                    <a:stretch>
                      <a:fillRect/>
                    </a:stretch>
                  </pic:blipFill>
                  <pic:spPr>
                    <a:xfrm>
                      <a:off x="0" y="0"/>
                      <a:ext cx="5303520" cy="2386584"/>
                    </a:xfrm>
                    <a:prstGeom prst="rect"/>
                  </pic:spPr>
                </pic:pic>
              </a:graphicData>
            </a:graphic>
          </wp:inline>
        </w:drawing>
      </w:r>
    </w:p>
    <w:p>
      <w:pPr>
        <w:jc w:val="center"/>
      </w:pPr>
      <w:r>
        <w:rPr>
          <w:rFonts w:ascii="Times New Roman" w:hAnsi="Times New Roman"/>
          <w:b w:val="0"/>
          <w:i/>
          <w:color w:val="555555"/>
          <w:sz w:val="20"/>
        </w:rPr>
        <w:t>Figure 4 — Monthly Revenue &amp; Profit trend, 48 months (Nov–Dec peaks; Jan troughs; worst profit Jan-2015 −$3,281).</w:t>
      </w:r>
    </w:p>
    <w:p>
      <w:pPr>
        <w:pStyle w:val="Heading1"/>
      </w:pPr>
      <w:r>
        <w:t>10. Genuine Looker Studio Dashboard Screenshots</w:t>
      </w:r>
    </w:p>
    <w:p>
      <w:r>
        <w:rPr>
          <w:rFonts w:ascii="Times New Roman" w:hAnsi="Times New Roman"/>
          <w:b/>
          <w:i w:val="0"/>
          <w:sz w:val="22"/>
        </w:rPr>
        <w:t>The updated captures below are genuine public-view screenshots taken on 13 October 2026 without a Google login. Historical screenshots and automation attempts are preserved separately. Figures 1–4 are labelled accounting charts generated from the reconciled data.</w:t>
      </w:r>
    </w:p>
    <w:p>
      <w:pPr>
        <w:keepNext/>
      </w:pPr>
      <w:r>
        <w:drawing>
          <wp:inline xmlns:a="http://schemas.openxmlformats.org/drawingml/2006/main" xmlns:pic="http://schemas.openxmlformats.org/drawingml/2006/picture">
            <wp:extent cx="5303520" cy="3314700"/>
            <wp:docPr id="5" name="Picture 5"/>
            <wp:cNvGraphicFramePr>
              <a:graphicFrameLocks noChangeAspect="1"/>
            </wp:cNvGraphicFramePr>
            <a:graphic>
              <a:graphicData uri="http://schemas.openxmlformats.org/drawingml/2006/picture">
                <pic:pic>
                  <pic:nvPicPr>
                    <pic:cNvPr id="0" name="01_full_dashboard.png"/>
                    <pic:cNvPicPr/>
                  </pic:nvPicPr>
                  <pic:blipFill>
                    <a:blip r:embed="rId16"/>
                    <a:stretch>
                      <a:fillRect/>
                    </a:stretch>
                  </pic:blipFill>
                  <pic:spPr>
                    <a:xfrm>
                      <a:off x="0" y="0"/>
                      <a:ext cx="5303520" cy="3314700"/>
                    </a:xfrm>
                    <a:prstGeom prst="rect"/>
                  </pic:spPr>
                </pic:pic>
              </a:graphicData>
            </a:graphic>
          </wp:inline>
        </w:drawing>
      </w:r>
    </w:p>
    <w:p>
      <w:pPr>
        <w:jc w:val="center"/>
      </w:pPr>
      <w:r>
        <w:rPr>
          <w:rFonts w:ascii="Times New Roman" w:hAnsi="Times New Roman"/>
          <w:b w:val="0"/>
          <w:i/>
          <w:color w:val="555555"/>
          <w:sz w:val="20"/>
        </w:rPr>
        <w:t>Figure 5 — Final live dashboard with four data-bound scorecards, three existing charts, and Date, Category and Region controls.</w:t>
      </w:r>
    </w:p>
    <w:p>
      <w:pPr>
        <w:keepNext/>
      </w:pPr>
      <w:r>
        <w:drawing>
          <wp:inline xmlns:a="http://schemas.openxmlformats.org/drawingml/2006/main" xmlns:pic="http://schemas.openxmlformats.org/drawingml/2006/picture">
            <wp:extent cx="5303520" cy="565708"/>
            <wp:docPr id="6" name="Picture 6"/>
            <wp:cNvGraphicFramePr>
              <a:graphicFrameLocks noChangeAspect="1"/>
            </wp:cNvGraphicFramePr>
            <a:graphic>
              <a:graphicData uri="http://schemas.openxmlformats.org/drawingml/2006/picture">
                <pic:pic>
                  <pic:nvPicPr>
                    <pic:cNvPr id="0" name="02_title_kpi_strip.png"/>
                    <pic:cNvPicPr/>
                  </pic:nvPicPr>
                  <pic:blipFill>
                    <a:blip r:embed="rId17"/>
                    <a:stretch>
                      <a:fillRect/>
                    </a:stretch>
                  </pic:blipFill>
                  <pic:spPr>
                    <a:xfrm>
                      <a:off x="0" y="0"/>
                      <a:ext cx="5303520" cy="565708"/>
                    </a:xfrm>
                    <a:prstGeom prst="rect"/>
                  </pic:spPr>
                </pic:pic>
              </a:graphicData>
            </a:graphic>
          </wp:inline>
        </w:drawing>
      </w:r>
    </w:p>
    <w:p>
      <w:pPr>
        <w:jc w:val="center"/>
      </w:pPr>
      <w:r>
        <w:rPr>
          <w:rFonts w:ascii="Times New Roman" w:hAnsi="Times New Roman"/>
          <w:b w:val="0"/>
          <w:i/>
          <w:color w:val="555555"/>
          <w:sz w:val="20"/>
        </w:rPr>
        <w:t>Figure 6 — Live KPI scorecards: SUM Revenue, SUM TotalCost, SUM Profit, and aggregate Profit Margin.</w:t>
      </w:r>
    </w:p>
    <w:p>
      <w:pPr>
        <w:keepNext/>
      </w:pPr>
      <w:r>
        <w:drawing>
          <wp:inline xmlns:a="http://schemas.openxmlformats.org/drawingml/2006/main" xmlns:pic="http://schemas.openxmlformats.org/drawingml/2006/picture">
            <wp:extent cx="5303520" cy="1922526"/>
            <wp:docPr id="7" name="Picture 7"/>
            <wp:cNvGraphicFramePr>
              <a:graphicFrameLocks noChangeAspect="1"/>
            </wp:cNvGraphicFramePr>
            <a:graphic>
              <a:graphicData uri="http://schemas.openxmlformats.org/drawingml/2006/picture">
                <pic:pic>
                  <pic:nvPicPr>
                    <pic:cNvPr id="0" name="01_full_dashboard.png"/>
                    <pic:cNvPicPr/>
                  </pic:nvPicPr>
                  <pic:blipFill>
                    <a:blip r:embed="rId18"/>
                    <a:stretch>
                      <a:fillRect/>
                    </a:stretch>
                  </pic:blipFill>
                  <pic:spPr>
                    <a:xfrm>
                      <a:off x="0" y="0"/>
                      <a:ext cx="5303520" cy="1922526"/>
                    </a:xfrm>
                    <a:prstGeom prst="rect"/>
                  </pic:spPr>
                </pic:pic>
              </a:graphicData>
            </a:graphic>
          </wp:inline>
        </w:drawing>
      </w:r>
    </w:p>
    <w:p>
      <w:pPr>
        <w:jc w:val="center"/>
      </w:pPr>
      <w:r>
        <w:rPr>
          <w:rFonts w:ascii="Times New Roman" w:hAnsi="Times New Roman"/>
          <w:b w:val="0"/>
          <w:i/>
          <w:color w:val="555555"/>
          <w:sz w:val="20"/>
        </w:rPr>
        <w:t>Figure 7 — Existing live charts and the added viewer controls. The bar counts distinct sub-categories by category; the time series shows daily revenue; the pie groups the existing metric by order date.</w:t>
      </w:r>
    </w:p>
    <w:tbl>
      <w:tblPr>
        <w:tblStyle w:val="LightGrid-Accent1"/>
        <w:tblW w:type="auto" w:w="0"/>
        <w:jc w:val="center"/>
        <w:tblLayout w:type="fixed"/>
        <w:tblLook w:firstColumn="1" w:firstRow="1" w:lastColumn="0" w:lastRow="0" w:noHBand="0" w:noVBand="1" w:val="04A0"/>
      </w:tblPr>
      <w:tblGrid>
        <w:gridCol w:w="5472"/>
        <w:gridCol w:w="3888"/>
      </w:tblGrid>
      <w:tr>
        <w:trPr>
          <w:cantSplit/>
          <w:tblHeader/>
        </w:trPr>
        <w:tc>
          <w:tcPr>
            <w:tcW w:type="dxa" w:w="5472"/>
          </w:tcPr>
          <w:p>
            <w:pPr>
              <w:keepNext/>
              <w:keepLines/>
            </w:pPr>
            <w:r>
              <w:rPr>
                <w:rFonts w:ascii="Times New Roman" w:hAnsi="Times New Roman"/>
              </w:rPr>
            </w:r>
            <w:r>
              <w:rPr>
                <w:rFonts w:ascii="Times New Roman" w:hAnsi="Times New Roman"/>
                <w:b/>
                <w:sz w:val="20"/>
              </w:rPr>
              <w:t>Required shot</w:t>
            </w:r>
          </w:p>
        </w:tc>
        <w:tc>
          <w:tcPr>
            <w:tcW w:type="dxa" w:w="3888"/>
          </w:tcPr>
          <w:p>
            <w:pPr>
              <w:keepNext/>
              <w:keepLines/>
            </w:pPr>
            <w:r>
              <w:rPr>
                <w:rFonts w:ascii="Times New Roman" w:hAnsi="Times New Roman"/>
              </w:rPr>
            </w:r>
            <w:r>
              <w:rPr>
                <w:rFonts w:ascii="Times New Roman" w:hAnsi="Times New Roman"/>
                <w:b/>
                <w:sz w:val="20"/>
              </w:rPr>
              <w:t>Status</w:t>
            </w:r>
          </w:p>
        </w:tc>
      </w:tr>
      <w:tr>
        <w:trPr>
          <w:cantSplit/>
        </w:trPr>
        <w:tc>
          <w:tcPr>
            <w:tcW w:type="dxa" w:w="5472"/>
          </w:tcPr>
          <w:p>
            <w:pPr>
              <w:keepNext/>
              <w:keepLines/>
            </w:pPr>
            <w:r>
              <w:rPr>
                <w:rFonts w:ascii="Times New Roman" w:hAnsi="Times New Roman"/>
              </w:rPr>
              <w:t>Full dashboard (live KPIs, charts and controls)</w:t>
            </w:r>
          </w:p>
        </w:tc>
        <w:tc>
          <w:tcPr>
            <w:tcW w:type="dxa" w:w="3888"/>
          </w:tcPr>
          <w:p>
            <w:pPr>
              <w:keepNext/>
              <w:keepLines/>
            </w:pPr>
            <w:r>
              <w:rPr>
                <w:rFonts w:ascii="Times New Roman" w:hAnsi="Times New Roman"/>
              </w:rPr>
              <w:t>DONE — Figure 5 + Dashboard_Screenshots/10_complete_dashboard_final.png</w:t>
            </w:r>
          </w:p>
        </w:tc>
      </w:tr>
      <w:tr>
        <w:trPr>
          <w:cantSplit/>
        </w:trPr>
        <w:tc>
          <w:tcPr>
            <w:tcW w:type="dxa" w:w="5472"/>
          </w:tcPr>
          <w:p>
            <w:pPr>
              <w:keepNext/>
              <w:keepLines/>
            </w:pPr>
            <w:r>
              <w:rPr>
                <w:rFonts w:ascii="Times New Roman" w:hAnsi="Times New Roman"/>
              </w:rPr>
              <w:t>Four live KPI scorecards close-up</w:t>
            </w:r>
          </w:p>
        </w:tc>
        <w:tc>
          <w:tcPr>
            <w:tcW w:type="dxa" w:w="3888"/>
          </w:tcPr>
          <w:p>
            <w:pPr>
              <w:keepNext/>
              <w:keepLines/>
            </w:pPr>
            <w:r>
              <w:rPr>
                <w:rFonts w:ascii="Times New Roman" w:hAnsi="Times New Roman"/>
              </w:rPr>
              <w:t>DONE — Figure 6 + Dashboard_Screenshots/05_four_live_kpis.png</w:t>
            </w:r>
          </w:p>
        </w:tc>
      </w:tr>
      <w:tr>
        <w:trPr>
          <w:cantSplit/>
        </w:trPr>
        <w:tc>
          <w:tcPr>
            <w:tcW w:type="dxa" w:w="5472"/>
          </w:tcPr>
          <w:p>
            <w:pPr>
              <w:keepNext/>
              <w:keepLines/>
            </w:pPr>
            <w:r>
              <w:rPr>
                <w:rFonts w:ascii="Times New Roman" w:hAnsi="Times New Roman"/>
              </w:rPr>
            </w:r>
            <w:r>
              <w:rPr>
                <w:rFonts w:ascii="Times New Roman" w:hAnsi="Times New Roman"/>
                <w:sz w:val="20"/>
              </w:rPr>
              <w:t>Charts area</w:t>
            </w:r>
          </w:p>
        </w:tc>
        <w:tc>
          <w:tcPr>
            <w:tcW w:type="dxa" w:w="3888"/>
          </w:tcPr>
          <w:p>
            <w:pPr>
              <w:keepNext/>
              <w:keepLines/>
            </w:pPr>
            <w:r>
              <w:rPr>
                <w:rFonts w:ascii="Times New Roman" w:hAnsi="Times New Roman"/>
              </w:rPr>
              <w:t>DONE — Figure 7 + Dashboard_Screenshots/06_charts_and_controls.png</w:t>
            </w:r>
          </w:p>
        </w:tc>
      </w:tr>
      <w:tr>
        <w:trPr>
          <w:cantSplit/>
        </w:trPr>
        <w:tc>
          <w:tcPr>
            <w:tcW w:type="dxa" w:w="5472"/>
          </w:tcPr>
          <w:p>
            <w:pPr>
              <w:keepNext/>
              <w:keepLines/>
            </w:pPr>
            <w:r>
              <w:rPr>
                <w:rFonts w:ascii="Times New Roman" w:hAnsi="Times New Roman"/>
              </w:rPr>
            </w:r>
            <w:r>
              <w:rPr>
                <w:rFonts w:ascii="Times New Roman" w:hAnsi="Times New Roman"/>
                <w:sz w:val="20"/>
              </w:rPr>
              <w:t>Data-source connection (Sheets → Looker)</w:t>
            </w:r>
          </w:p>
        </w:tc>
        <w:tc>
          <w:tcPr>
            <w:tcW w:type="dxa" w:w="3888"/>
          </w:tcPr>
          <w:p>
            <w:pPr>
              <w:keepNext/>
              <w:keepLines/>
            </w:pPr>
            <w:r>
              <w:rPr>
                <w:rFonts w:ascii="Times New Roman" w:hAnsi="Times New Roman"/>
              </w:rPr>
            </w:r>
            <w:r>
              <w:rPr>
                <w:rFonts w:ascii="Times New Roman" w:hAnsi="Times New Roman"/>
                <w:sz w:val="20"/>
              </w:rPr>
              <w:t>DONE — Step_By_Step_Evidence/04–05</w:t>
            </w:r>
          </w:p>
        </w:tc>
      </w:tr>
      <w:tr>
        <w:trPr>
          <w:cantSplit/>
        </w:trPr>
        <w:tc>
          <w:tcPr>
            <w:tcW w:type="dxa" w:w="5472"/>
          </w:tcPr>
          <w:p>
            <w:pPr>
              <w:keepNext w:val="0"/>
              <w:keepLines/>
            </w:pPr>
            <w:r>
              <w:rPr>
                <w:rFonts w:ascii="Times New Roman" w:hAnsi="Times New Roman"/>
              </w:rPr>
            </w:r>
            <w:r>
              <w:rPr>
                <w:rFonts w:ascii="Times New Roman" w:hAnsi="Times New Roman"/>
                <w:sz w:val="20"/>
              </w:rPr>
              <w:t>Editor + share-dialog proof (Unlisted)</w:t>
            </w:r>
          </w:p>
        </w:tc>
        <w:tc>
          <w:tcPr>
            <w:tcW w:type="dxa" w:w="3888"/>
          </w:tcPr>
          <w:p>
            <w:pPr>
              <w:keepNext w:val="0"/>
              <w:keepLines/>
            </w:pPr>
            <w:r>
              <w:rPr>
                <w:rFonts w:ascii="Times New Roman" w:hAnsi="Times New Roman"/>
              </w:rPr>
            </w:r>
            <w:r>
              <w:rPr>
                <w:rFonts w:ascii="Times New Roman" w:hAnsi="Times New Roman"/>
                <w:sz w:val="20"/>
              </w:rPr>
              <w:t>DONE — Step_By_Step_Evidence/08</w:t>
            </w:r>
          </w:p>
        </w:tc>
      </w:tr>
    </w:tbl>
    <w:p>
      <w:pPr>
        <w:pStyle w:val="Heading1"/>
      </w:pPr>
      <w:r>
        <w:t>11. Interpretation of Results</w:t>
      </w:r>
    </w:p>
    <w:p>
      <w:pPr>
        <w:pStyle w:val="ListBullet"/>
      </w:pPr>
      <w:r>
        <w:rPr>
          <w:rFonts w:ascii="Times New Roman" w:hAnsi="Times New Roman"/>
          <w:sz w:val="24"/>
        </w:rPr>
        <w:t>Overall: $2.30M revenue kept $286K profit — a 12.47% margin. Healthy but thin; cost ($2.01M, 87.5% of revenue) leaves little room for discount mistakes.</w:t>
      </w:r>
    </w:p>
    <w:p>
      <w:pPr>
        <w:pStyle w:val="ListBullet"/>
      </w:pPr>
      <w:r>
        <w:rPr>
          <w:rFonts w:ascii="Times New Roman" w:hAnsi="Times New Roman"/>
          <w:sz w:val="24"/>
        </w:rPr>
        <w:t>Category split: Technology (17.40% margin, $145K profit) and Office Supplies (17.04%, $122K) carry the business. Furniture earns only 2.49% ($18.5K on $742K sales) — its cost line runs neck-and-neck with revenue.</w:t>
      </w:r>
    </w:p>
    <w:p>
      <w:pPr>
        <w:pStyle w:val="ListBullet"/>
      </w:pPr>
      <w:r>
        <w:rPr>
          <w:rFonts w:ascii="Times New Roman" w:hAnsi="Times New Roman"/>
          <w:sz w:val="24"/>
        </w:rPr>
        <w:t>Sub-category extremes: Copiers (37.2%), Paper (43.4%) and Envelopes (42.3%) are margin stars. Tables (−8.56%, −$17,725), Bookcases (−3.02%) and Supplies (−2.55%) destroy profit — Tables alone wipes out 6% of total profit.</w:t>
      </w:r>
    </w:p>
    <w:p>
      <w:pPr>
        <w:pStyle w:val="ListBullet"/>
      </w:pPr>
      <w:r>
        <w:rPr>
          <w:rFonts w:ascii="Times New Roman" w:hAnsi="Times New Roman"/>
          <w:sz w:val="24"/>
        </w:rPr>
        <w:t>Discount link: the three loss-makers carry high average discounts (Tables 26%, Bookcases 21%); Machines takes 31% discount yet keeps only 1.79% margin — discount without costing discipline.</w:t>
      </w:r>
    </w:p>
    <w:p>
      <w:pPr>
        <w:pStyle w:val="ListBullet"/>
      </w:pPr>
      <w:r>
        <w:rPr>
          <w:rFonts w:ascii="Times New Roman" w:hAnsi="Times New Roman"/>
          <w:sz w:val="24"/>
        </w:rPr>
        <w:t>Seasonality: November–December peaks (Nov-2017 revenue $118,448; Dec-2016 profit $17,885) vs January troughs (Jan-2015 loss −$3,281). Stock-outs in peak or over-stocking in January both cost money.</w:t>
      </w:r>
    </w:p>
    <w:p>
      <w:pPr>
        <w:pStyle w:val="Heading1"/>
      </w:pPr>
      <w:r>
        <w:t>12. Three to Five Data-Supported Financial Recommendations</w:t>
      </w:r>
    </w:p>
    <w:p>
      <w:pPr>
        <w:pStyle w:val="ListBullet"/>
      </w:pPr>
      <w:r>
        <w:rPr>
          <w:rFonts w:ascii="Times New Roman" w:hAnsi="Times New Roman"/>
          <w:b/>
          <w:sz w:val="24"/>
        </w:rPr>
        <w:t xml:space="preserve">1. Fix Tables pricing first — recover ~$18K. </w:t>
      </w:r>
      <w:r>
        <w:rPr>
          <w:rFonts w:ascii="Times New Roman" w:hAnsi="Times New Roman"/>
          <w:sz w:val="24"/>
        </w:rPr>
        <w:t>Tables lost $17,725 on $206,966 sales (−8.56%) at 26% average discount. Cut average discount to ≤10% and re-price freight-heavy tables; even halving the loss adds ~$9K profit (+3%). Owner action: freeze manual discounts on Tables for one quarter and review weekly.</w:t>
      </w:r>
    </w:p>
    <w:p>
      <w:pPr>
        <w:pStyle w:val="ListBullet"/>
      </w:pPr>
      <w:r>
        <w:rPr>
          <w:rFonts w:ascii="Times New Roman" w:hAnsi="Times New Roman"/>
          <w:b/>
          <w:sz w:val="24"/>
        </w:rPr>
        <w:t xml:space="preserve">2. Push the high-margin mix — Copiers, Paper, Accessories. </w:t>
      </w:r>
      <w:r>
        <w:rPr>
          <w:rFonts w:ascii="Times New Roman" w:hAnsi="Times New Roman"/>
          <w:sz w:val="24"/>
        </w:rPr>
        <w:t>Copiers (37.2%, +$55,618), Paper (43.4%, +$34,054) and Accessories (25.1%, +$41,937) together give $131K profit on $395K sales. Moving just 5% of Furniture shelf space/budget to these lines could add low-five-figure profit at current margins.</w:t>
      </w:r>
    </w:p>
    <w:p>
      <w:pPr>
        <w:pStyle w:val="ListBullet"/>
      </w:pPr>
      <w:r>
        <w:rPr>
          <w:rFonts w:ascii="Times New Roman" w:hAnsi="Times New Roman"/>
          <w:b/>
          <w:sz w:val="24"/>
        </w:rPr>
        <w:t xml:space="preserve">3. Stop the Bookcases + Supplies bleed (~$4.7K). </w:t>
      </w:r>
      <w:r>
        <w:rPr>
          <w:rFonts w:ascii="Times New Roman" w:hAnsi="Times New Roman"/>
          <w:sz w:val="24"/>
        </w:rPr>
        <w:t>Bookcases −$3,473 (−3.02%) and Supplies −$1,189 (−2.55%). Options: bundle slow SKUs, raise minimum order value, or delist the worst 10% of SKUs by margin. Saving half the combined loss = +$2.3K profit.</w:t>
      </w:r>
    </w:p>
    <w:p>
      <w:pPr>
        <w:pStyle w:val="ListBullet"/>
      </w:pPr>
      <w:r>
        <w:rPr>
          <w:rFonts w:ascii="Times New Roman" w:hAnsi="Times New Roman"/>
          <w:b/>
          <w:sz w:val="24"/>
        </w:rPr>
        <w:t xml:space="preserve">4. Cap blanket discounts on Machines and Binders. </w:t>
      </w:r>
      <w:r>
        <w:rPr>
          <w:rFonts w:ascii="Times New Roman" w:hAnsi="Times New Roman"/>
          <w:sz w:val="24"/>
        </w:rPr>
        <w:t>Machines keeps 1.79% on 31% discount; Binders survives (14.86%) only on volume at 37% discount. Set a 15% discount ceiling except for clearance with manager sign-off; model shows each 5-point discount cut on Machines adds roughly $9K (5% × $189K sales) if volume holds.</w:t>
      </w:r>
    </w:p>
    <w:p>
      <w:pPr>
        <w:pStyle w:val="ListBullet"/>
      </w:pPr>
      <w:r>
        <w:rPr>
          <w:rFonts w:ascii="Times New Roman" w:hAnsi="Times New Roman"/>
          <w:b/>
          <w:sz w:val="24"/>
        </w:rPr>
        <w:t xml:space="preserve">5. Plan inventory around the Nov–Dec peak and Jan trough. </w:t>
      </w:r>
      <w:r>
        <w:rPr>
          <w:rFonts w:ascii="Times New Roman" w:hAnsi="Times New Roman"/>
          <w:sz w:val="24"/>
        </w:rPr>
        <w:t>Best month Nov-2017 ($118K revenue); worst Jan-2015 (−$3.3K profit). Pre-build stock and staff for Oct–Dec, run lean in January (shorter hours, no bulk buys). Avoiding one repeat of Jan-2015 saves ~$3K.</w:t>
      </w:r>
    </w:p>
    <w:p>
      <w:pPr>
        <w:pStyle w:val="Heading1"/>
      </w:pPr>
      <w:r>
        <w:t>13. Conclusion</w:t>
      </w:r>
    </w:p>
    <w:p>
      <w:r>
        <w:rPr>
          <w:rFonts w:ascii="Times New Roman" w:hAnsi="Times New Roman"/>
          <w:b w:val="0"/>
          <w:i w:val="0"/>
          <w:sz w:val="24"/>
        </w:rPr>
        <w:t>On genuine 9,994-line retail data the business is profitable (12.47%) but unbalanced: two categories fund a third, three sub-categories erase $22K, and season swings profit by five figures month to month. The workbook proves every number with live formulas; the live Looker dashboard makes the same data explorable with live charts and a date control. Act on the five recommendations above and the owner converts discount-driven losses into retained profit without needing a single extra sale — the core lesson of cost accounting.</w:t>
      </w:r>
    </w:p>
    <w:p>
      <w:pPr>
        <w:pStyle w:val="Heading1"/>
      </w:pPr>
      <w:r>
        <w:t>14. References</w:t>
      </w:r>
    </w:p>
    <w:p>
      <w:pPr>
        <w:pStyle w:val="ListBullet"/>
      </w:pPr>
      <w:r>
        <w:rPr>
          <w:rFonts w:ascii="Times New Roman" w:hAnsi="Times New Roman"/>
          <w:sz w:val="24"/>
        </w:rPr>
        <w:t>Tableau Software. Sample Superstore dataset (Orders) — Tableau Public Sample Data. https://public.tableau.com/app/learn/sample-data (original publisher; free BI-education sample).</w:t>
      </w:r>
    </w:p>
    <w:p>
      <w:pPr>
        <w:pStyle w:val="ListBullet"/>
      </w:pPr>
      <w:r>
        <w:rPr>
          <w:rFonts w:ascii="Times New Roman" w:hAnsi="Times New Roman"/>
          <w:sz w:val="24"/>
        </w:rPr>
        <w:t>Mirror used for download: praveen-kumar-maurya / Superstore-Sales-Dashboard-Power-BI — Sample - Superstore.csv (2,298,597 bytes; accessed Oct 2026). Cross-check mirror: ThigasSantos / BaseSuperStore — sales.csv.</w:t>
      </w:r>
    </w:p>
    <w:p>
      <w:pPr>
        <w:pStyle w:val="ListBullet"/>
      </w:pPr>
      <w:r>
        <w:rPr>
          <w:rFonts w:ascii="Times New Roman" w:hAnsi="Times New Roman"/>
          <w:sz w:val="24"/>
        </w:rPr>
        <w:t>UCI Machine Learning Repository. Online Retail dataset (Chen, D., 2015) — https://archive.ics.uci.edu/dataset/352/online+retail — evaluated and REJECTED (no cost field; using it would force fabricated costs).</w:t>
      </w:r>
    </w:p>
    <w:p>
      <w:pPr>
        <w:pStyle w:val="ListBullet"/>
      </w:pPr>
      <w:r>
        <w:rPr>
          <w:rFonts w:ascii="Times New Roman" w:hAnsi="Times New Roman"/>
          <w:sz w:val="24"/>
        </w:rPr>
        <w:t>Google Looker Studio Help. Connect to Google Sheets; Scorecards; Date-range and filter controls. https://support.google.com/looker-studio (accessed Oct 2026).</w:t>
      </w:r>
    </w:p>
    <w:p>
      <w:pPr>
        <w:pStyle w:val="ListBullet"/>
      </w:pPr>
      <w:r>
        <w:rPr>
          <w:rFonts w:ascii="Times New Roman" w:hAnsi="Times New Roman"/>
          <w:sz w:val="24"/>
        </w:rPr>
        <w:t>Microsoft Support. SUMIFS / SUMIF / COUNTIFS function references (used in workbook analysis sheets).</w:t>
      </w:r>
    </w:p>
    <w:p>
      <w:pPr>
        <w:pStyle w:val="ListBullet"/>
      </w:pPr>
      <w:r>
        <w:rPr>
          <w:rFonts w:ascii="Times New Roman" w:hAnsi="Times New Roman"/>
          <w:sz w:val="24"/>
        </w:rPr>
        <w:t>McKinsey &amp; Company / standard cost-accounting texts: Profit = Revenue − Cost; Margin = Profit ÷ Revenue; Contribution = Sales − Variable Cost; BEP = Fixed Cost ÷ Unit Contribution (theory cited for the §5 limitation).</w:t>
      </w:r>
    </w:p>
    <w:p>
      <w:pPr>
        <w:keepNext/>
      </w:pPr>
      <w:r>
        <w:rPr>
          <w:rFonts w:ascii="Times New Roman" w:hAnsi="Times New Roman"/>
          <w:b/>
          <w:i w:val="0"/>
          <w:color w:val="1F3864"/>
          <w:sz w:val="26"/>
        </w:rPr>
        <w:t>APPENDIX — Workbook map &amp; file list</w:t>
      </w:r>
    </w:p>
    <w:tbl>
      <w:tblPr>
        <w:tblStyle w:val="LightGrid-Accent1"/>
        <w:tblW w:type="auto" w:w="0"/>
        <w:jc w:val="center"/>
        <w:tblLayout w:type="fixed"/>
        <w:tblLook w:firstColumn="1" w:firstRow="1" w:lastColumn="0" w:lastRow="0" w:noHBand="0" w:noVBand="1" w:val="04A0"/>
      </w:tblPr>
      <w:tblGrid>
        <w:gridCol w:w="3456"/>
        <w:gridCol w:w="5904"/>
      </w:tblGrid>
      <w:tr>
        <w:trPr>
          <w:cantSplit/>
          <w:tblHeader/>
        </w:trPr>
        <w:tc>
          <w:tcPr>
            <w:tcW w:type="dxa" w:w="3456"/>
          </w:tcPr>
          <w:p>
            <w:pPr>
              <w:keepNext/>
              <w:keepLines/>
            </w:pPr>
            <w:r>
              <w:rPr>
                <w:rFonts w:ascii="Times New Roman" w:hAnsi="Times New Roman"/>
              </w:rPr>
            </w:r>
            <w:r>
              <w:rPr>
                <w:rFonts w:ascii="Times New Roman" w:hAnsi="Times New Roman"/>
                <w:b/>
                <w:sz w:val="20"/>
              </w:rPr>
              <w:t>File / Sheet</w:t>
            </w:r>
          </w:p>
        </w:tc>
        <w:tc>
          <w:tcPr>
            <w:tcW w:type="dxa" w:w="5904"/>
          </w:tcPr>
          <w:p>
            <w:pPr>
              <w:keepNext/>
              <w:keepLines/>
            </w:pPr>
            <w:r>
              <w:rPr>
                <w:rFonts w:ascii="Times New Roman" w:hAnsi="Times New Roman"/>
              </w:rPr>
            </w:r>
            <w:r>
              <w:rPr>
                <w:rFonts w:ascii="Times New Roman" w:hAnsi="Times New Roman"/>
                <w:b/>
                <w:sz w:val="20"/>
              </w:rPr>
              <w:t>What to open</w:t>
            </w:r>
          </w:p>
        </w:tc>
      </w:tr>
      <w:tr>
        <w:trPr>
          <w:cantSplit/>
        </w:trPr>
        <w:tc>
          <w:tcPr>
            <w:tcW w:type="dxa" w:w="3456"/>
          </w:tcPr>
          <w:p>
            <w:pPr>
              <w:keepNext/>
              <w:keepLines/>
            </w:pPr>
            <w:r>
              <w:rPr>
                <w:rFonts w:ascii="Times New Roman" w:hAnsi="Times New Roman"/>
              </w:rPr>
            </w:r>
            <w:r>
              <w:rPr>
                <w:rFonts w:ascii="Times New Roman" w:hAnsi="Times New Roman"/>
                <w:sz w:val="20"/>
              </w:rPr>
              <w:t>FCA_Accounting_Data.xlsx §00–02</w:t>
            </w:r>
          </w:p>
        </w:tc>
        <w:tc>
          <w:tcPr>
            <w:tcW w:type="dxa" w:w="5904"/>
          </w:tcPr>
          <w:p>
            <w:pPr>
              <w:keepNext/>
              <w:keepLines/>
            </w:pPr>
            <w:r>
              <w:rPr>
                <w:rFonts w:ascii="Times New Roman" w:hAnsi="Times New Roman"/>
              </w:rPr>
            </w:r>
            <w:r>
              <w:rPr>
                <w:rFonts w:ascii="Times New Roman" w:hAnsi="Times New Roman"/>
                <w:sz w:val="20"/>
              </w:rPr>
              <w:t>Source note, raw sample, field meanings</w:t>
            </w:r>
          </w:p>
        </w:tc>
      </w:tr>
      <w:tr>
        <w:trPr>
          <w:cantSplit/>
        </w:trPr>
        <w:tc>
          <w:tcPr>
            <w:tcW w:type="dxa" w:w="3456"/>
          </w:tcPr>
          <w:p>
            <w:pPr>
              <w:keepNext/>
              <w:keepLines/>
            </w:pPr>
            <w:r>
              <w:rPr>
                <w:rFonts w:ascii="Times New Roman" w:hAnsi="Times New Roman"/>
              </w:rPr>
            </w:r>
            <w:r>
              <w:rPr>
                <w:rFonts w:ascii="Times New Roman" w:hAnsi="Times New Roman"/>
                <w:sz w:val="20"/>
              </w:rPr>
              <w:t>§03_Cleaned_Dataset</w:t>
            </w:r>
          </w:p>
        </w:tc>
        <w:tc>
          <w:tcPr>
            <w:tcW w:type="dxa" w:w="5904"/>
          </w:tcPr>
          <w:p>
            <w:pPr>
              <w:keepNext/>
              <w:keepLines/>
            </w:pPr>
            <w:r>
              <w:rPr>
                <w:rFonts w:ascii="Times New Roman" w:hAnsi="Times New Roman"/>
              </w:rPr>
            </w:r>
            <w:r>
              <w:rPr>
                <w:rFonts w:ascii="Times New Roman" w:hAnsi="Times New Roman"/>
                <w:sz w:val="20"/>
              </w:rPr>
              <w:t>9,994 rows; blue Cost/Margin columns are live formulas</w:t>
            </w:r>
          </w:p>
        </w:tc>
      </w:tr>
      <w:tr>
        <w:trPr>
          <w:cantSplit/>
        </w:trPr>
        <w:tc>
          <w:tcPr>
            <w:tcW w:type="dxa" w:w="3456"/>
          </w:tcPr>
          <w:p>
            <w:pPr>
              <w:keepNext/>
              <w:keepLines/>
            </w:pPr>
            <w:r>
              <w:rPr>
                <w:rFonts w:ascii="Times New Roman" w:hAnsi="Times New Roman"/>
              </w:rPr>
            </w:r>
            <w:r>
              <w:rPr>
                <w:rFonts w:ascii="Times New Roman" w:hAnsi="Times New Roman"/>
                <w:sz w:val="20"/>
              </w:rPr>
              <w:t>§04_Calculations</w:t>
            </w:r>
          </w:p>
        </w:tc>
        <w:tc>
          <w:tcPr>
            <w:tcW w:type="dxa" w:w="5904"/>
          </w:tcPr>
          <w:p>
            <w:pPr>
              <w:keepNext/>
              <w:keepLines/>
            </w:pPr>
            <w:r>
              <w:rPr>
                <w:rFonts w:ascii="Times New Roman" w:hAnsi="Times New Roman"/>
              </w:rPr>
            </w:r>
            <w:r>
              <w:rPr>
                <w:rFonts w:ascii="Times New Roman" w:hAnsi="Times New Roman"/>
                <w:sz w:val="20"/>
              </w:rPr>
              <w:t>Worked row + SUM totals</w:t>
            </w:r>
          </w:p>
        </w:tc>
      </w:tr>
      <w:tr>
        <w:trPr>
          <w:cantSplit/>
        </w:trPr>
        <w:tc>
          <w:tcPr>
            <w:tcW w:type="dxa" w:w="3456"/>
          </w:tcPr>
          <w:p>
            <w:pPr>
              <w:keepNext/>
              <w:keepLines/>
            </w:pPr>
            <w:r>
              <w:rPr>
                <w:rFonts w:ascii="Times New Roman" w:hAnsi="Times New Roman"/>
              </w:rPr>
            </w:r>
            <w:r>
              <w:rPr>
                <w:rFonts w:ascii="Times New Roman" w:hAnsi="Times New Roman"/>
                <w:sz w:val="20"/>
              </w:rPr>
              <w:t>§05 / §06</w:t>
            </w:r>
          </w:p>
        </w:tc>
        <w:tc>
          <w:tcPr>
            <w:tcW w:type="dxa" w:w="5904"/>
          </w:tcPr>
          <w:p>
            <w:pPr>
              <w:keepNext/>
              <w:keepLines/>
            </w:pPr>
            <w:r>
              <w:rPr>
                <w:rFonts w:ascii="Times New Roman" w:hAnsi="Times New Roman"/>
              </w:rPr>
            </w:r>
            <w:r>
              <w:rPr>
                <w:rFonts w:ascii="Times New Roman" w:hAnsi="Times New Roman"/>
                <w:sz w:val="20"/>
              </w:rPr>
              <w:t>Category (SUMIFS) and Monthly (SUMIF) analysis</w:t>
            </w:r>
          </w:p>
        </w:tc>
      </w:tr>
      <w:tr>
        <w:trPr>
          <w:cantSplit/>
        </w:trPr>
        <w:tc>
          <w:tcPr>
            <w:tcW w:type="dxa" w:w="3456"/>
          </w:tcPr>
          <w:p>
            <w:pPr>
              <w:keepNext/>
              <w:keepLines/>
            </w:pPr>
            <w:r>
              <w:rPr>
                <w:rFonts w:ascii="Times New Roman" w:hAnsi="Times New Roman"/>
              </w:rPr>
            </w:r>
            <w:r>
              <w:rPr>
                <w:rFonts w:ascii="Times New Roman" w:hAnsi="Times New Roman"/>
                <w:sz w:val="20"/>
              </w:rPr>
              <w:t>§07_KPI_Summary</w:t>
            </w:r>
          </w:p>
        </w:tc>
        <w:tc>
          <w:tcPr>
            <w:tcW w:type="dxa" w:w="5904"/>
          </w:tcPr>
          <w:p>
            <w:pPr>
              <w:keepNext/>
              <w:keepLines/>
            </w:pPr>
            <w:r>
              <w:rPr>
                <w:rFonts w:ascii="Times New Roman" w:hAnsi="Times New Roman"/>
              </w:rPr>
              <w:t>The 4 KPIs — identical to live dashboard scorecards figures</w:t>
            </w:r>
          </w:p>
        </w:tc>
      </w:tr>
      <w:tr>
        <w:trPr>
          <w:cantSplit/>
        </w:trPr>
        <w:tc>
          <w:tcPr>
            <w:tcW w:type="dxa" w:w="3456"/>
          </w:tcPr>
          <w:p>
            <w:pPr>
              <w:keepNext/>
              <w:keepLines/>
            </w:pPr>
            <w:r>
              <w:rPr>
                <w:rFonts w:ascii="Times New Roman" w:hAnsi="Times New Roman"/>
              </w:rPr>
            </w:r>
            <w:r>
              <w:rPr>
                <w:rFonts w:ascii="Times New Roman" w:hAnsi="Times New Roman"/>
                <w:sz w:val="20"/>
              </w:rPr>
              <w:t>§08_Validation</w:t>
            </w:r>
          </w:p>
        </w:tc>
        <w:tc>
          <w:tcPr>
            <w:tcW w:type="dxa" w:w="5904"/>
          </w:tcPr>
          <w:p>
            <w:pPr>
              <w:keepNext/>
              <w:keepLines/>
            </w:pPr>
            <w:r>
              <w:rPr>
                <w:rFonts w:ascii="Times New Roman" w:hAnsi="Times New Roman"/>
              </w:rPr>
            </w:r>
            <w:r>
              <w:rPr>
                <w:rFonts w:ascii="Times New Roman" w:hAnsi="Times New Roman"/>
                <w:sz w:val="20"/>
              </w:rPr>
              <w:t>Press F9 — every row must read PASS (tolerance $0.01)</w:t>
            </w:r>
          </w:p>
        </w:tc>
      </w:tr>
      <w:tr>
        <w:trPr>
          <w:cantSplit/>
        </w:trPr>
        <w:tc>
          <w:tcPr>
            <w:tcW w:type="dxa" w:w="3456"/>
          </w:tcPr>
          <w:p>
            <w:pPr>
              <w:keepNext/>
              <w:keepLines/>
            </w:pPr>
            <w:r>
              <w:rPr>
                <w:rFonts w:ascii="Times New Roman" w:hAnsi="Times New Roman"/>
              </w:rPr>
            </w:r>
            <w:r>
              <w:rPr>
                <w:rFonts w:ascii="Times New Roman" w:hAnsi="Times New Roman"/>
                <w:sz w:val="20"/>
              </w:rPr>
              <w:t>Dashboard_Screenshots/</w:t>
            </w:r>
          </w:p>
        </w:tc>
        <w:tc>
          <w:tcPr>
            <w:tcW w:type="dxa" w:w="5904"/>
          </w:tcPr>
          <w:p>
            <w:pPr>
              <w:keepNext/>
              <w:keepLines/>
            </w:pPr>
            <w:r>
              <w:rPr>
                <w:rFonts w:ascii="Times New Roman" w:hAnsi="Times New Roman"/>
              </w:rPr>
            </w:r>
            <w:r>
              <w:rPr>
                <w:rFonts w:ascii="Times New Roman" w:hAnsi="Times New Roman"/>
                <w:sz w:val="20"/>
              </w:rPr>
              <w:t>Real public-view captures (Figures 5–7 + link file)</w:t>
            </w:r>
          </w:p>
        </w:tc>
      </w:tr>
      <w:tr>
        <w:trPr>
          <w:cantSplit/>
        </w:trPr>
        <w:tc>
          <w:tcPr>
            <w:tcW w:type="dxa" w:w="3456"/>
          </w:tcPr>
          <w:p>
            <w:pPr>
              <w:keepNext w:val="0"/>
              <w:keepLines/>
            </w:pPr>
            <w:r>
              <w:rPr>
                <w:rFonts w:ascii="Times New Roman" w:hAnsi="Times New Roman"/>
              </w:rPr>
            </w:r>
            <w:r>
              <w:rPr>
                <w:rFonts w:ascii="Times New Roman" w:hAnsi="Times New Roman"/>
                <w:sz w:val="20"/>
              </w:rPr>
              <w:t>Step_By_Step_Evidence/</w:t>
            </w:r>
          </w:p>
        </w:tc>
        <w:tc>
          <w:tcPr>
            <w:tcW w:type="dxa" w:w="5904"/>
          </w:tcPr>
          <w:p>
            <w:pPr>
              <w:keepNext w:val="0"/>
              <w:keepLines/>
            </w:pPr>
            <w:r>
              <w:rPr>
                <w:rFonts w:ascii="Times New Roman" w:hAnsi="Times New Roman"/>
              </w:rPr>
            </w:r>
            <w:r>
              <w:rPr>
                <w:rFonts w:ascii="Times New Roman" w:hAnsi="Times New Roman"/>
                <w:sz w:val="20"/>
              </w:rPr>
              <w:t>Consent + connection + editor + share trail (01–09)</w:t>
            </w:r>
          </w:p>
        </w:tc>
      </w:tr>
    </w:tbl>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PAGE</w:instrText>
    </w:r>
    <w:r>
      <w:fldChar w:fldCharType="end"/>
    </w:r>
    <w:r>
      <w:rPr>
        <w:sz w:val="16"/>
      </w:rPr>
      <w:t xml:space="preserve">  |  FCA Portfolio — Individual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1F386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1F3864"/>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1F386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